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6A53" w14:textId="6526514F" w:rsidR="004C799D" w:rsidRDefault="001717B7">
      <w:r w:rsidRPr="00ED346B">
        <w:rPr>
          <w:noProof/>
        </w:rPr>
        <w:drawing>
          <wp:inline distT="0" distB="0" distL="0" distR="0" wp14:anchorId="6B164236" wp14:editId="4FF712B8">
            <wp:extent cx="3314700" cy="742950"/>
            <wp:effectExtent l="0" t="0" r="0" b="0"/>
            <wp:docPr id="185278544" name="Picture 185278544" descr="\\sg.datastore.ed.ac.uk\sg\studentservices\groups\Disability\Confidential\Operations &amp; Procedures\Printing, Publications &amp; House Style\Headed Paper &amp; Comp Slips\DLSS Full Colour White Background.jpg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7B88A" w14:textId="26CC36E8" w:rsidR="001717B7" w:rsidRPr="001717B7" w:rsidRDefault="001717B7" w:rsidP="001717B7">
      <w:pPr>
        <w:pStyle w:val="Heading1"/>
        <w:jc w:val="center"/>
      </w:pPr>
      <w:r w:rsidRPr="001717B7">
        <w:t>Annual Review and Viva Examinations Good Practice Guide</w:t>
      </w:r>
    </w:p>
    <w:p w14:paraId="138F72DB" w14:textId="77777777" w:rsidR="001717B7" w:rsidRPr="00ED346B" w:rsidRDefault="001717B7" w:rsidP="001717B7">
      <w:pPr>
        <w:jc w:val="center"/>
      </w:pPr>
    </w:p>
    <w:p w14:paraId="0136049E" w14:textId="76435681" w:rsidR="001717B7" w:rsidRDefault="001717B7" w:rsidP="001717B7">
      <w:pPr>
        <w:jc w:val="both"/>
      </w:pPr>
      <w:r w:rsidRPr="00ED346B">
        <w:t>This guidance should be shared with P</w:t>
      </w:r>
      <w:r w:rsidR="00F2103E">
        <w:t>GR</w:t>
      </w:r>
      <w:r w:rsidRPr="00ED346B">
        <w:t xml:space="preserve"> Supervisors, the PGR/Research Office, and Internal and External Examiners to determine sharing of responsibility for implementation</w:t>
      </w:r>
      <w:r>
        <w:t>.</w:t>
      </w:r>
    </w:p>
    <w:p w14:paraId="105BD8B3" w14:textId="77777777" w:rsidR="001717B7" w:rsidRPr="00ED346B" w:rsidRDefault="001717B7" w:rsidP="001717B7">
      <w:pPr>
        <w:jc w:val="both"/>
      </w:pPr>
    </w:p>
    <w:p w14:paraId="2E950074" w14:textId="77777777" w:rsidR="001717B7" w:rsidRPr="001717B7" w:rsidRDefault="001717B7" w:rsidP="001717B7">
      <w:pPr>
        <w:pStyle w:val="Heading2"/>
      </w:pPr>
      <w:r w:rsidRPr="001717B7">
        <w:t>In advance of the annual review or Viva</w:t>
      </w:r>
    </w:p>
    <w:p w14:paraId="253F34AD" w14:textId="77777777" w:rsidR="001717B7" w:rsidRPr="00B0571D" w:rsidRDefault="001717B7" w:rsidP="001717B7"/>
    <w:p w14:paraId="04D49A78" w14:textId="08679CAD" w:rsidR="001717B7" w:rsidRDefault="001717B7" w:rsidP="001717B7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ED346B">
        <w:rPr>
          <w:rFonts w:ascii="Verdana" w:hAnsi="Verdana"/>
        </w:rPr>
        <w:t>Ensure the student is fully briefed on the format and process for the annual review/</w:t>
      </w:r>
      <w:r w:rsidRPr="001717B7">
        <w:rPr>
          <w:rFonts w:ascii="Verdana" w:hAnsi="Verdana"/>
        </w:rPr>
        <w:t>Viva</w:t>
      </w:r>
      <w:r w:rsidRPr="00ED346B">
        <w:rPr>
          <w:rFonts w:ascii="Verdana" w:hAnsi="Verdana"/>
          <w:i/>
          <w:iCs/>
        </w:rPr>
        <w:t xml:space="preserve"> </w:t>
      </w:r>
      <w:r w:rsidRPr="00ED346B">
        <w:rPr>
          <w:rFonts w:ascii="Verdana" w:hAnsi="Verdana"/>
        </w:rPr>
        <w:t>at least 2 weeks in advance of the examination</w:t>
      </w:r>
    </w:p>
    <w:p w14:paraId="2995F3BC" w14:textId="77777777" w:rsidR="001717B7" w:rsidRDefault="001717B7" w:rsidP="001717B7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ED346B">
        <w:rPr>
          <w:rFonts w:ascii="Verdana" w:hAnsi="Verdana"/>
        </w:rPr>
        <w:t>Notify the student of the location of the proposed venue by email at least 2 weeks in advanc</w:t>
      </w:r>
      <w:r>
        <w:rPr>
          <w:rFonts w:ascii="Verdana" w:hAnsi="Verdana"/>
        </w:rPr>
        <w:t>e</w:t>
      </w:r>
    </w:p>
    <w:p w14:paraId="359EA4CE" w14:textId="77777777" w:rsidR="001717B7" w:rsidRPr="00B0571D" w:rsidRDefault="001717B7" w:rsidP="001717B7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bCs/>
        </w:rPr>
      </w:pPr>
      <w:r w:rsidRPr="00ED346B">
        <w:rPr>
          <w:rFonts w:ascii="Verdana" w:hAnsi="Verdana"/>
        </w:rPr>
        <w:t xml:space="preserve">Allow the student access to the proposed venue in advance, if requested, to familiarise themselves with the environment. </w:t>
      </w:r>
    </w:p>
    <w:p w14:paraId="222543B0" w14:textId="77777777" w:rsidR="001717B7" w:rsidRPr="00B0571D" w:rsidRDefault="001717B7" w:rsidP="001717B7">
      <w:pPr>
        <w:jc w:val="both"/>
        <w:rPr>
          <w:b/>
          <w:bCs/>
        </w:rPr>
      </w:pPr>
    </w:p>
    <w:p w14:paraId="0AA26A0B" w14:textId="78930BBC" w:rsidR="001717B7" w:rsidRDefault="001717B7" w:rsidP="001717B7">
      <w:pPr>
        <w:pStyle w:val="Heading2"/>
      </w:pPr>
      <w:r w:rsidRPr="001717B7">
        <w:t xml:space="preserve">During the annual review or </w:t>
      </w:r>
      <w:r>
        <w:t>V</w:t>
      </w:r>
      <w:r w:rsidRPr="001717B7">
        <w:t>iva</w:t>
      </w:r>
    </w:p>
    <w:p w14:paraId="3C36317E" w14:textId="77777777" w:rsidR="001717B7" w:rsidRPr="001717B7" w:rsidRDefault="001717B7" w:rsidP="001717B7"/>
    <w:p w14:paraId="13CAD6D4" w14:textId="77777777" w:rsidR="001717B7" w:rsidRPr="00ED346B" w:rsidRDefault="001717B7" w:rsidP="001717B7">
      <w:pPr>
        <w:jc w:val="both"/>
        <w:rPr>
          <w:b/>
          <w:bCs/>
        </w:rPr>
      </w:pPr>
      <w:r w:rsidRPr="00ED346B">
        <w:rPr>
          <w:b/>
          <w:bCs/>
        </w:rPr>
        <w:t>In all instances:</w:t>
      </w:r>
    </w:p>
    <w:p w14:paraId="67A04AA5" w14:textId="77777777" w:rsidR="001717B7" w:rsidRPr="00ED346B" w:rsidRDefault="001717B7" w:rsidP="001717B7">
      <w:pPr>
        <w:keepLines/>
        <w:widowControl w:val="0"/>
        <w:numPr>
          <w:ilvl w:val="0"/>
          <w:numId w:val="2"/>
        </w:numPr>
        <w:spacing w:after="160"/>
        <w:contextualSpacing/>
        <w:jc w:val="both"/>
      </w:pPr>
      <w:r w:rsidRPr="00ED346B">
        <w:t>Ensure questions are clearly asked one at a time. For example, if there are multiple parts to a question, ask each part separately</w:t>
      </w:r>
    </w:p>
    <w:p w14:paraId="0B5C8EA9" w14:textId="77777777" w:rsidR="001717B7" w:rsidRPr="00ED346B" w:rsidRDefault="001717B7" w:rsidP="001717B7">
      <w:pPr>
        <w:keepLines/>
        <w:widowControl w:val="0"/>
        <w:numPr>
          <w:ilvl w:val="0"/>
          <w:numId w:val="2"/>
        </w:numPr>
        <w:spacing w:after="160"/>
        <w:contextualSpacing/>
        <w:jc w:val="both"/>
      </w:pPr>
      <w:r w:rsidRPr="00ED346B">
        <w:t>Allow sufficient time for the student to locate detail in their notes, presentation or thesis following a question</w:t>
      </w:r>
    </w:p>
    <w:p w14:paraId="78D9A064" w14:textId="77777777" w:rsidR="001717B7" w:rsidRPr="00ED346B" w:rsidRDefault="001717B7" w:rsidP="001717B7">
      <w:pPr>
        <w:keepLines/>
        <w:widowControl w:val="0"/>
        <w:numPr>
          <w:ilvl w:val="0"/>
          <w:numId w:val="2"/>
        </w:numPr>
        <w:spacing w:after="160"/>
        <w:contextualSpacing/>
        <w:jc w:val="both"/>
      </w:pPr>
      <w:r w:rsidRPr="00ED346B">
        <w:t>Allow the student time to sequence and prepare their response following each question</w:t>
      </w:r>
    </w:p>
    <w:p w14:paraId="4FEB029B" w14:textId="54008E8B" w:rsidR="001717B7" w:rsidRPr="00ED346B" w:rsidRDefault="001717B7" w:rsidP="001717B7">
      <w:pPr>
        <w:keepLines/>
        <w:widowControl w:val="0"/>
        <w:numPr>
          <w:ilvl w:val="0"/>
          <w:numId w:val="2"/>
        </w:numPr>
        <w:spacing w:after="160"/>
        <w:contextualSpacing/>
        <w:jc w:val="both"/>
      </w:pPr>
      <w:r w:rsidRPr="00ED346B">
        <w:t xml:space="preserve">Remind the student to bring blank paper and pen or preferred tech into the annual review or </w:t>
      </w:r>
      <w:r>
        <w:t>Viva</w:t>
      </w:r>
      <w:r w:rsidRPr="00ED346B">
        <w:rPr>
          <w:i/>
          <w:iCs/>
        </w:rPr>
        <w:t xml:space="preserve"> </w:t>
      </w:r>
      <w:r w:rsidRPr="00ED346B">
        <w:t>to take notes, allow time for student to make notes and use these to formulate their responses (without the use of AI)</w:t>
      </w:r>
    </w:p>
    <w:p w14:paraId="05CFCBE7" w14:textId="77777777" w:rsidR="001717B7" w:rsidRPr="00ED346B" w:rsidRDefault="001717B7" w:rsidP="001717B7">
      <w:pPr>
        <w:keepLines/>
        <w:widowControl w:val="0"/>
        <w:numPr>
          <w:ilvl w:val="0"/>
          <w:numId w:val="2"/>
        </w:numPr>
        <w:spacing w:after="160"/>
        <w:contextualSpacing/>
        <w:jc w:val="both"/>
      </w:pPr>
      <w:r w:rsidRPr="00ED346B">
        <w:t xml:space="preserve">Schedule a comfort break and communicate the timing of this in advance. </w:t>
      </w:r>
    </w:p>
    <w:p w14:paraId="0FCE1D5C" w14:textId="77777777" w:rsidR="001717B7" w:rsidRPr="00ED346B" w:rsidRDefault="001717B7" w:rsidP="001717B7">
      <w:pPr>
        <w:keepLines/>
        <w:widowControl w:val="0"/>
        <w:ind w:left="720"/>
        <w:contextualSpacing/>
        <w:jc w:val="both"/>
      </w:pPr>
    </w:p>
    <w:p w14:paraId="71490DFD" w14:textId="77777777" w:rsidR="001717B7" w:rsidRPr="00ED346B" w:rsidRDefault="001717B7" w:rsidP="001717B7">
      <w:pPr>
        <w:jc w:val="both"/>
        <w:rPr>
          <w:b/>
        </w:rPr>
      </w:pPr>
      <w:r w:rsidRPr="00ED346B">
        <w:rPr>
          <w:b/>
          <w:bCs/>
        </w:rPr>
        <w:t>If requested by the student:</w:t>
      </w:r>
    </w:p>
    <w:p w14:paraId="1AAA8C43" w14:textId="77777777" w:rsidR="001717B7" w:rsidRPr="00ED346B" w:rsidRDefault="001717B7" w:rsidP="001717B7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ED346B">
        <w:rPr>
          <w:rFonts w:ascii="Verdana" w:hAnsi="Verdana"/>
        </w:rPr>
        <w:t>Long questions should be broken down into shorter questions</w:t>
      </w:r>
    </w:p>
    <w:p w14:paraId="1BD3A8CE" w14:textId="77777777" w:rsidR="001717B7" w:rsidRPr="00ED346B" w:rsidRDefault="001717B7" w:rsidP="001717B7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ED346B">
        <w:rPr>
          <w:rFonts w:ascii="Verdana" w:hAnsi="Verdana"/>
        </w:rPr>
        <w:t>Examiners are to repeat, clarify or rephrase questions</w:t>
      </w:r>
    </w:p>
    <w:p w14:paraId="21FF9EBC" w14:textId="77777777" w:rsidR="001717B7" w:rsidRPr="00ED346B" w:rsidRDefault="001717B7" w:rsidP="001717B7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ED346B">
        <w:rPr>
          <w:rFonts w:ascii="Verdana" w:hAnsi="Verdana"/>
        </w:rPr>
        <w:t>Short breaks of 5-10 minutes should be offered, or if they show signs of anxiety or stress.</w:t>
      </w:r>
    </w:p>
    <w:p w14:paraId="6679591A" w14:textId="0422961C" w:rsidR="001717B7" w:rsidRDefault="001717B7" w:rsidP="001717B7">
      <w:pPr>
        <w:pStyle w:val="Heading2"/>
      </w:pPr>
      <w:r w:rsidRPr="001717B7">
        <w:t>The above good practice helps support all students experiencing difficulties in the following areas</w:t>
      </w:r>
    </w:p>
    <w:p w14:paraId="3DE56F56" w14:textId="77777777" w:rsidR="001717B7" w:rsidRPr="001717B7" w:rsidRDefault="001717B7" w:rsidP="001717B7"/>
    <w:p w14:paraId="585C2D3C" w14:textId="77777777" w:rsidR="001717B7" w:rsidRPr="00ED346B" w:rsidRDefault="001717B7" w:rsidP="001717B7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ED346B">
        <w:rPr>
          <w:rFonts w:ascii="Verdana" w:hAnsi="Verdana"/>
        </w:rPr>
        <w:t>Slower information processing speed</w:t>
      </w:r>
    </w:p>
    <w:p w14:paraId="63403B20" w14:textId="77777777" w:rsidR="001717B7" w:rsidRPr="00ED346B" w:rsidRDefault="001717B7" w:rsidP="001717B7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ED346B">
        <w:rPr>
          <w:rFonts w:ascii="Verdana" w:hAnsi="Verdana"/>
        </w:rPr>
        <w:t>Short term memory and information recall</w:t>
      </w:r>
    </w:p>
    <w:p w14:paraId="32291CC8" w14:textId="77777777" w:rsidR="001717B7" w:rsidRPr="00ED346B" w:rsidRDefault="001717B7" w:rsidP="001717B7">
      <w:pPr>
        <w:pStyle w:val="ListParagraph"/>
        <w:numPr>
          <w:ilvl w:val="0"/>
          <w:numId w:val="1"/>
        </w:numPr>
        <w:jc w:val="both"/>
        <w:rPr>
          <w:rFonts w:ascii="Verdana" w:eastAsiaTheme="minorEastAsia" w:hAnsi="Verdana"/>
        </w:rPr>
      </w:pPr>
      <w:r w:rsidRPr="00ED346B">
        <w:rPr>
          <w:rFonts w:ascii="Verdana" w:eastAsiaTheme="minorEastAsia" w:hAnsi="Verdana"/>
        </w:rPr>
        <w:t>Word retrieval and articulating responses</w:t>
      </w:r>
    </w:p>
    <w:p w14:paraId="6E41FC8B" w14:textId="77777777" w:rsidR="001717B7" w:rsidRPr="00ED346B" w:rsidRDefault="001717B7" w:rsidP="001717B7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ED346B">
        <w:rPr>
          <w:rFonts w:ascii="Verdana" w:hAnsi="Verdana"/>
        </w:rPr>
        <w:t>Organising thoughts</w:t>
      </w:r>
    </w:p>
    <w:p w14:paraId="7482632B" w14:textId="77777777" w:rsidR="001717B7" w:rsidRPr="00ED346B" w:rsidRDefault="001717B7" w:rsidP="001717B7">
      <w:pPr>
        <w:pStyle w:val="ListParagraph"/>
        <w:numPr>
          <w:ilvl w:val="0"/>
          <w:numId w:val="1"/>
        </w:numPr>
        <w:jc w:val="both"/>
        <w:rPr>
          <w:rFonts w:ascii="Verdana" w:eastAsiaTheme="minorEastAsia" w:hAnsi="Verdana"/>
        </w:rPr>
      </w:pPr>
      <w:r w:rsidRPr="00ED346B">
        <w:rPr>
          <w:rFonts w:ascii="Verdana" w:eastAsiaTheme="minorEastAsia" w:hAnsi="Verdana"/>
        </w:rPr>
        <w:t>Maintaining attention and focus for sustained periods.</w:t>
      </w:r>
    </w:p>
    <w:p w14:paraId="4923606E" w14:textId="77777777" w:rsidR="001717B7" w:rsidRPr="00ED346B" w:rsidRDefault="001717B7" w:rsidP="001717B7">
      <w:pPr>
        <w:pStyle w:val="ListParagraph"/>
        <w:jc w:val="both"/>
        <w:rPr>
          <w:rFonts w:ascii="Verdana" w:eastAsiaTheme="minorEastAsia" w:hAnsi="Verdana"/>
        </w:rPr>
      </w:pPr>
    </w:p>
    <w:p w14:paraId="6D3746E2" w14:textId="5C2537B1" w:rsidR="001717B7" w:rsidRPr="00ED346B" w:rsidRDefault="001717B7" w:rsidP="001717B7">
      <w:pPr>
        <w:jc w:val="both"/>
        <w:rPr>
          <w:rFonts w:eastAsiaTheme="minorEastAsia"/>
        </w:rPr>
      </w:pPr>
      <w:r w:rsidRPr="00ED346B">
        <w:rPr>
          <w:rFonts w:eastAsiaTheme="minorEastAsia"/>
        </w:rPr>
        <w:t>For advice and guidance regarding support for P</w:t>
      </w:r>
      <w:r w:rsidR="00F2103E">
        <w:rPr>
          <w:rFonts w:eastAsiaTheme="minorEastAsia"/>
        </w:rPr>
        <w:t>GR</w:t>
      </w:r>
      <w:r w:rsidRPr="00ED346B">
        <w:rPr>
          <w:rFonts w:eastAsiaTheme="minorEastAsia"/>
        </w:rPr>
        <w:t xml:space="preserve"> students with disabilities, contact the Disability &amp; Learning Support Service on </w:t>
      </w:r>
      <w:hyperlink r:id="rId8">
        <w:r w:rsidRPr="00ED346B">
          <w:rPr>
            <w:rStyle w:val="Hyperlink"/>
            <w:rFonts w:eastAsiaTheme="minorEastAsia"/>
          </w:rPr>
          <w:t>disability.service@ed.ac.uk.</w:t>
        </w:r>
      </w:hyperlink>
    </w:p>
    <w:p w14:paraId="0A0A4255" w14:textId="77777777" w:rsidR="001717B7" w:rsidRDefault="001717B7"/>
    <w:sectPr w:rsidR="001717B7" w:rsidSect="000C11E4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32C1" w14:textId="77777777" w:rsidR="00D45575" w:rsidRDefault="00D45575" w:rsidP="00D45575">
      <w:r>
        <w:separator/>
      </w:r>
    </w:p>
  </w:endnote>
  <w:endnote w:type="continuationSeparator" w:id="0">
    <w:p w14:paraId="457C8931" w14:textId="77777777" w:rsidR="00D45575" w:rsidRDefault="00D45575" w:rsidP="00D4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A4DC" w14:textId="41DE5016" w:rsidR="00D45575" w:rsidRPr="00D45575" w:rsidRDefault="00D45575" w:rsidP="00D45575">
    <w:pPr>
      <w:pStyle w:val="Footer"/>
      <w:jc w:val="right"/>
      <w:rPr>
        <w:i/>
        <w:iCs/>
      </w:rPr>
    </w:pPr>
    <w:r w:rsidRPr="00D45575">
      <w:rPr>
        <w:i/>
        <w:iCs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7FAD" w14:textId="77777777" w:rsidR="00D45575" w:rsidRDefault="00D45575" w:rsidP="00D45575">
      <w:r>
        <w:separator/>
      </w:r>
    </w:p>
  </w:footnote>
  <w:footnote w:type="continuationSeparator" w:id="0">
    <w:p w14:paraId="686E7818" w14:textId="77777777" w:rsidR="00D45575" w:rsidRDefault="00D45575" w:rsidP="00D4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A3394"/>
    <w:multiLevelType w:val="hybridMultilevel"/>
    <w:tmpl w:val="60D441CE"/>
    <w:lvl w:ilvl="0" w:tplc="FF482A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6CA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67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2A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49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4C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A6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27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87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F6699"/>
    <w:multiLevelType w:val="hybridMultilevel"/>
    <w:tmpl w:val="905CA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B7"/>
    <w:rsid w:val="00075A8D"/>
    <w:rsid w:val="000C11E4"/>
    <w:rsid w:val="001717B7"/>
    <w:rsid w:val="002A780F"/>
    <w:rsid w:val="00451A0D"/>
    <w:rsid w:val="004F3356"/>
    <w:rsid w:val="00743C7F"/>
    <w:rsid w:val="00B413C0"/>
    <w:rsid w:val="00C87E9F"/>
    <w:rsid w:val="00D45575"/>
    <w:rsid w:val="00DC1B6D"/>
    <w:rsid w:val="00E52BE3"/>
    <w:rsid w:val="00F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56906"/>
  <w15:chartTrackingRefBased/>
  <w15:docId w15:val="{81291309-B638-4BFA-AFD5-DDB88B00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8D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A8D"/>
    <w:pPr>
      <w:keepNext/>
      <w:keepLines/>
      <w:spacing w:before="240"/>
      <w:outlineLvl w:val="0"/>
    </w:pPr>
    <w:rPr>
      <w:rFonts w:ascii="Poppins" w:eastAsiaTheme="majorEastAsia" w:hAnsi="Poppins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A8D"/>
    <w:pPr>
      <w:keepNext/>
      <w:keepLines/>
      <w:spacing w:before="40"/>
      <w:outlineLvl w:val="1"/>
    </w:pPr>
    <w:rPr>
      <w:rFonts w:ascii="Poppins" w:eastAsiaTheme="majorEastAsia" w:hAnsi="Poppins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A8D"/>
    <w:pPr>
      <w:keepNext/>
      <w:keepLines/>
      <w:spacing w:before="40"/>
      <w:outlineLvl w:val="2"/>
    </w:pPr>
    <w:rPr>
      <w:rFonts w:ascii="Poppins" w:eastAsiaTheme="majorEastAsia" w:hAnsi="Poppins" w:cstheme="majorBidi"/>
      <w:color w:val="1F3763" w:themeColor="accent1" w:themeShade="7F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A8D"/>
    <w:pPr>
      <w:keepNext/>
      <w:keepLines/>
      <w:spacing w:before="40"/>
      <w:outlineLvl w:val="3"/>
    </w:pPr>
    <w:rPr>
      <w:rFonts w:ascii="Poppins" w:eastAsiaTheme="majorEastAsia" w:hAnsi="Poppins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A8D"/>
    <w:pPr>
      <w:keepNext/>
      <w:keepLines/>
      <w:spacing w:before="40"/>
      <w:outlineLvl w:val="4"/>
    </w:pPr>
    <w:rPr>
      <w:rFonts w:ascii="Poppins" w:eastAsiaTheme="majorEastAsia" w:hAnsi="Poppins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A8D"/>
    <w:pPr>
      <w:keepNext/>
      <w:keepLines/>
      <w:spacing w:before="40"/>
      <w:outlineLvl w:val="5"/>
    </w:pPr>
    <w:rPr>
      <w:rFonts w:ascii="Poppins" w:eastAsiaTheme="majorEastAsia" w:hAnsi="Poppins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E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qFormat/>
    <w:rsid w:val="00C87E9F"/>
    <w:rPr>
      <w:color w:val="0066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5A8D"/>
    <w:rPr>
      <w:rFonts w:ascii="Poppins" w:eastAsiaTheme="majorEastAsia" w:hAnsi="Poppins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5A8D"/>
    <w:rPr>
      <w:rFonts w:ascii="Poppins" w:eastAsiaTheme="majorEastAsia" w:hAnsi="Poppins" w:cstheme="majorBidi"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5A8D"/>
    <w:rPr>
      <w:rFonts w:ascii="Poppins" w:eastAsiaTheme="majorEastAsia" w:hAnsi="Poppins" w:cstheme="majorBidi"/>
      <w:color w:val="1F3763" w:themeColor="accent1" w:themeShade="7F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5A8D"/>
    <w:rPr>
      <w:rFonts w:ascii="Poppins" w:eastAsiaTheme="majorEastAsia" w:hAnsi="Poppins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5A8D"/>
    <w:rPr>
      <w:rFonts w:ascii="Poppins" w:eastAsiaTheme="majorEastAsia" w:hAnsi="Poppins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75A8D"/>
    <w:rPr>
      <w:rFonts w:ascii="Poppins" w:eastAsiaTheme="majorEastAsia" w:hAnsi="Poppins" w:cstheme="majorBidi"/>
      <w:color w:val="1F3763" w:themeColor="accent1" w:themeShade="7F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75A8D"/>
    <w:pPr>
      <w:contextualSpacing/>
    </w:pPr>
    <w:rPr>
      <w:rFonts w:ascii="Poppins" w:eastAsiaTheme="majorEastAsia" w:hAnsi="Poppins" w:cstheme="majorBidi"/>
      <w:b/>
      <w:color w:val="2F5496" w:themeColor="accent1" w:themeShade="BF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A8D"/>
    <w:rPr>
      <w:rFonts w:ascii="Poppins" w:eastAsiaTheme="majorEastAsia" w:hAnsi="Poppins" w:cstheme="majorBidi"/>
      <w:b/>
      <w:color w:val="2F5496" w:themeColor="accent1" w:themeShade="BF"/>
      <w:spacing w:val="-10"/>
      <w:kern w:val="28"/>
      <w:sz w:val="44"/>
      <w:szCs w:val="56"/>
    </w:rPr>
  </w:style>
  <w:style w:type="character" w:styleId="Emphasis">
    <w:name w:val="Emphasis"/>
    <w:basedOn w:val="DefaultParagraphFont"/>
    <w:uiPriority w:val="20"/>
    <w:qFormat/>
    <w:rsid w:val="00075A8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F3356"/>
    <w:rPr>
      <w:rFonts w:ascii="Verdana" w:hAnsi="Verdana"/>
      <w:i/>
      <w:iCs/>
      <w:color w:val="4472C4" w:themeColor="accent1"/>
      <w:sz w:val="22"/>
    </w:rPr>
  </w:style>
  <w:style w:type="paragraph" w:styleId="ListParagraph">
    <w:name w:val="List Paragraph"/>
    <w:basedOn w:val="Normal"/>
    <w:uiPriority w:val="34"/>
    <w:qFormat/>
    <w:rsid w:val="001717B7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D455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57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D455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57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ability.service@ed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>University of Edinburgh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Campbell</dc:creator>
  <cp:keywords/>
  <dc:description/>
  <cp:lastModifiedBy>Toni Jenkins</cp:lastModifiedBy>
  <cp:revision>2</cp:revision>
  <dcterms:created xsi:type="dcterms:W3CDTF">2026-02-18T09:16:00Z</dcterms:created>
  <dcterms:modified xsi:type="dcterms:W3CDTF">2026-02-18T09:16:00Z</dcterms:modified>
</cp:coreProperties>
</file>